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992"/>
        <w:jc w:val="both"/>
        <w:rPr>
          <w:rFonts w:ascii="Arial" w:hAnsi="Arial" w:cs="Arial"/>
          <w:b/>
          <w:color w:val="000000"/>
          <w:sz w:val="36"/>
          <w:szCs w:val="36"/>
        </w:rPr>
      </w:pPr>
      <w:r>
        <w:rPr>
          <w:rFonts w:ascii="Arial" w:hAnsi="Arial" w:cs="Arial"/>
          <w:b/>
          <w:color w:val="000000"/>
          <w:sz w:val="36"/>
          <w:szCs w:val="36"/>
        </w:rPr>
        <w:t>Barrierefrei und kinderfreundlich:</w:t>
      </w:r>
    </w:p>
    <w:p>
      <w:pPr>
        <w:spacing w:line="360" w:lineRule="auto"/>
        <w:ind w:right="992"/>
        <w:jc w:val="both"/>
        <w:rPr>
          <w:rFonts w:ascii="Arial" w:hAnsi="Arial" w:cs="Arial"/>
          <w:b/>
          <w:color w:val="000000"/>
          <w:sz w:val="36"/>
          <w:szCs w:val="36"/>
        </w:rPr>
      </w:pPr>
      <w:r>
        <w:rPr>
          <w:rFonts w:ascii="Arial" w:hAnsi="Arial" w:cs="Arial"/>
          <w:b/>
          <w:color w:val="000000"/>
          <w:sz w:val="36"/>
          <w:szCs w:val="36"/>
        </w:rPr>
        <w:t>Im Da Vinci Garten ziehen die Mieter ein</w:t>
      </w:r>
    </w:p>
    <w:p>
      <w:pPr>
        <w:spacing w:line="360" w:lineRule="auto"/>
        <w:ind w:right="992"/>
        <w:jc w:val="both"/>
        <w:rPr>
          <w:rFonts w:ascii="Arial" w:hAnsi="Arial" w:cs="Arial"/>
          <w:b/>
          <w:color w:val="000000"/>
          <w:sz w:val="24"/>
          <w:szCs w:val="24"/>
        </w:rPr>
      </w:pPr>
    </w:p>
    <w:p>
      <w:pPr>
        <w:spacing w:line="360" w:lineRule="auto"/>
        <w:ind w:right="992"/>
        <w:jc w:val="both"/>
        <w:rPr>
          <w:rFonts w:ascii="Arial" w:hAnsi="Arial" w:cs="Arial"/>
          <w:b/>
          <w:color w:val="000000"/>
          <w:sz w:val="24"/>
          <w:szCs w:val="24"/>
        </w:rPr>
      </w:pPr>
      <w:r>
        <w:rPr>
          <w:rFonts w:ascii="Arial" w:hAnsi="Arial" w:cs="Arial"/>
          <w:b/>
          <w:color w:val="000000"/>
          <w:sz w:val="24"/>
          <w:szCs w:val="24"/>
        </w:rPr>
        <w:t>Neubau in Frankfurt-Bockenheim: Unternehmensgruppe Nassauische Heimstätte | Wohnstadt hat die ersten Wohnungen übergeben</w:t>
      </w:r>
    </w:p>
    <w:p>
      <w:pPr>
        <w:spacing w:line="360" w:lineRule="auto"/>
        <w:ind w:right="992"/>
        <w:jc w:val="both"/>
        <w:rPr>
          <w:rFonts w:ascii="Arial" w:hAnsi="Arial" w:cs="Arial"/>
          <w:b/>
          <w:color w:val="000000"/>
          <w:sz w:val="24"/>
          <w:szCs w:val="24"/>
        </w:rPr>
      </w:pPr>
    </w:p>
    <w:p>
      <w:pPr>
        <w:spacing w:line="360" w:lineRule="auto"/>
        <w:ind w:right="992"/>
        <w:jc w:val="both"/>
        <w:rPr>
          <w:rFonts w:ascii="Arial" w:hAnsi="Arial" w:cs="Arial"/>
          <w:color w:val="000000"/>
        </w:rPr>
      </w:pPr>
      <w:r>
        <w:rPr>
          <w:rFonts w:ascii="Arial" w:hAnsi="Arial" w:cs="Arial"/>
          <w:color w:val="000000"/>
          <w:u w:val="single"/>
        </w:rPr>
        <w:t>Frankfurt</w:t>
      </w:r>
      <w:r>
        <w:rPr>
          <w:rFonts w:ascii="Arial" w:hAnsi="Arial" w:cs="Arial"/>
          <w:color w:val="000000"/>
        </w:rPr>
        <w:t xml:space="preserve"> – Der Da Vinci Garten in Frankfurt-Bockenheim ist bezugsfertig. Die Unternehmensgruppe Nassauische Heimstätte | Wohnstadt hat vor kurzem die ersten Wohnungen des Neubauprojekts in der Leonardo-da-Vinci-Allee an die Mieter übergeben – trotz Corona und selbstverständlich unter Einhaltung sämtlicher Hygiene- und Abstandsmaßnahmen.</w:t>
      </w:r>
    </w:p>
    <w:p>
      <w:pPr>
        <w:spacing w:line="360" w:lineRule="auto"/>
        <w:ind w:right="992"/>
        <w:jc w:val="both"/>
        <w:rPr>
          <w:rFonts w:ascii="Arial" w:hAnsi="Arial" w:cs="Arial"/>
          <w:color w:val="000000"/>
        </w:rPr>
      </w:pPr>
    </w:p>
    <w:p>
      <w:pPr>
        <w:spacing w:line="360" w:lineRule="auto"/>
        <w:ind w:right="992"/>
        <w:jc w:val="both"/>
        <w:rPr>
          <w:rFonts w:ascii="Arial" w:hAnsi="Arial" w:cs="Arial"/>
          <w:b/>
          <w:color w:val="000000"/>
        </w:rPr>
      </w:pPr>
      <w:r>
        <w:rPr>
          <w:rFonts w:ascii="Arial" w:hAnsi="Arial" w:cs="Arial"/>
          <w:b/>
          <w:color w:val="000000"/>
        </w:rPr>
        <w:t>121 Wohnungen und eine Kita für 60 Kinder</w:t>
      </w:r>
    </w:p>
    <w:p>
      <w:pPr>
        <w:spacing w:line="360" w:lineRule="auto"/>
        <w:ind w:right="992"/>
        <w:jc w:val="both"/>
        <w:rPr>
          <w:rFonts w:ascii="Arial" w:eastAsia="Times New Roman" w:hAnsi="Arial" w:cs="Arial"/>
          <w:lang w:eastAsia="de-DE"/>
        </w:rPr>
      </w:pPr>
      <w:r>
        <w:rPr>
          <w:rFonts w:ascii="Arial" w:hAnsi="Arial" w:cs="Arial"/>
          <w:color w:val="000000"/>
        </w:rPr>
        <w:t xml:space="preserve">Der Da Vinci Garten bietet 85 frei finanzierte und 36 geförderte Wohnungen mit zwei bis fünf Zimmern und einer Wohnfläche von ca. 58 bis 130 qm. </w:t>
      </w:r>
      <w:r>
        <w:rPr>
          <w:rFonts w:ascii="Arial" w:hAnsi="Arial" w:cs="Arial"/>
          <w:color w:val="000000"/>
          <w:shd w:val="clear" w:color="auto" w:fill="FFFFFF"/>
        </w:rPr>
        <w:t>Alle 121 Erdgeschoss- und Etagenwohnungen sind dank schwellenloser Zugänge und Aufzüge barrierefrei erreichbar, 18 Wohnungen sind vollständig barrierefrei ausgestattet.</w:t>
      </w:r>
      <w:r>
        <w:rPr>
          <w:rFonts w:ascii="Arial" w:hAnsi="Arial" w:cs="Arial"/>
          <w:color w:val="000000"/>
        </w:rPr>
        <w:t xml:space="preserve"> </w:t>
      </w:r>
      <w:r>
        <w:rPr>
          <w:rFonts w:ascii="Arial" w:eastAsia="Times New Roman" w:hAnsi="Arial" w:cs="Arial"/>
          <w:lang w:eastAsia="de-DE"/>
        </w:rPr>
        <w:t>Jede Wohnung hat darüber hinaus eine Loggia, einen Balkon oder eine Terrasse.</w:t>
      </w:r>
      <w:r>
        <w:rPr>
          <w:rFonts w:ascii="Arial" w:hAnsi="Arial" w:cs="Arial"/>
          <w:color w:val="000000"/>
        </w:rPr>
        <w:t xml:space="preserve"> Die Miete beträgt rund sieben Euro/qm für die geförderten sowie rund 12,50 Euro/qm für die frei finanzierten Wohnungen.</w:t>
      </w:r>
      <w:r>
        <w:rPr>
          <w:rFonts w:ascii="Arial" w:eastAsia="Times New Roman" w:hAnsi="Arial" w:cs="Arial"/>
          <w:lang w:eastAsia="de-DE"/>
        </w:rPr>
        <w:t xml:space="preserve"> </w:t>
      </w:r>
      <w:r>
        <w:rPr>
          <w:rFonts w:ascii="Arial" w:hAnsi="Arial" w:cs="Arial"/>
          <w:color w:val="000000"/>
        </w:rPr>
        <w:t xml:space="preserve">Darüber hinaus gibt es eine vierzügige Kita für bis zu 60 Kinder. Sie verfügt über zwei Gruppen für Kinder unter drei Jahren sowie zwei Gruppen für Kinder über drei Jahren. </w:t>
      </w:r>
      <w:r>
        <w:rPr>
          <w:rFonts w:ascii="Arial" w:hAnsi="Arial" w:cs="Arial"/>
          <w:color w:val="000000"/>
          <w:shd w:val="clear" w:color="auto" w:fill="FFFFFF"/>
        </w:rPr>
        <w:t xml:space="preserve">An die im Erdgeschoss angesiedelte Einrichtung sind rund 600 qm Freifläche im Innenhof angeschlossen. </w:t>
      </w:r>
      <w:r>
        <w:rPr>
          <w:rFonts w:ascii="Arial" w:eastAsia="Times New Roman" w:hAnsi="Arial" w:cs="Arial"/>
          <w:lang w:eastAsia="de-DE"/>
        </w:rPr>
        <w:t>Zum Haus gehören außerdem eine Tiefgarage mit 127 Stellplätzen sowie zwei oberirdische Stellplätze für die Kita und 335 Stellplätze für Fahrräder.</w:t>
      </w:r>
    </w:p>
    <w:p>
      <w:pPr>
        <w:spacing w:line="360" w:lineRule="auto"/>
        <w:ind w:right="992"/>
        <w:jc w:val="both"/>
        <w:rPr>
          <w:rFonts w:ascii="Arial" w:hAnsi="Arial" w:cs="Arial"/>
          <w:color w:val="000000"/>
          <w:shd w:val="clear" w:color="auto" w:fill="FFFFFF"/>
        </w:rPr>
      </w:pPr>
    </w:p>
    <w:p>
      <w:pPr>
        <w:spacing w:line="360" w:lineRule="auto"/>
        <w:ind w:right="992"/>
        <w:jc w:val="both"/>
        <w:rPr>
          <w:rFonts w:ascii="Arial" w:hAnsi="Arial" w:cs="Arial"/>
          <w:color w:val="000000"/>
          <w:shd w:val="clear" w:color="auto" w:fill="FFFFFF"/>
        </w:rPr>
      </w:pPr>
    </w:p>
    <w:p>
      <w:pPr>
        <w:spacing w:line="360" w:lineRule="auto"/>
        <w:ind w:right="992"/>
        <w:jc w:val="both"/>
        <w:rPr>
          <w:rFonts w:ascii="Arial" w:hAnsi="Arial" w:cs="Arial"/>
          <w:b/>
          <w:color w:val="000000"/>
        </w:rPr>
      </w:pPr>
      <w:r>
        <w:rPr>
          <w:rFonts w:ascii="Arial" w:hAnsi="Arial" w:cs="Arial"/>
          <w:b/>
          <w:color w:val="000000"/>
          <w:shd w:val="clear" w:color="auto" w:fill="FFFFFF"/>
        </w:rPr>
        <w:lastRenderedPageBreak/>
        <w:t>Strom tanken in der Tiefgarage</w:t>
      </w:r>
    </w:p>
    <w:p>
      <w:pPr>
        <w:spacing w:line="360" w:lineRule="auto"/>
        <w:ind w:right="992"/>
        <w:jc w:val="both"/>
        <w:rPr>
          <w:rFonts w:ascii="Arial" w:eastAsia="Times New Roman" w:hAnsi="Arial" w:cs="Arial"/>
          <w:lang w:eastAsia="de-DE"/>
        </w:rPr>
      </w:pPr>
      <w:r>
        <w:rPr>
          <w:rFonts w:ascii="Arial" w:hAnsi="Arial" w:cs="Arial"/>
          <w:color w:val="000000"/>
        </w:rPr>
        <w:t>Alle Wohnungen wurden als KfW Energieeffizienzhaus 55 gebaut, verbrauchen also deutlich weniger Energie, als die aktuelle Energiesparverordnung vorgibt.</w:t>
      </w:r>
      <w:r>
        <w:rPr>
          <w:rFonts w:ascii="Arial" w:eastAsia="Times New Roman" w:hAnsi="Arial" w:cs="Arial"/>
          <w:lang w:eastAsia="de-DE"/>
        </w:rPr>
        <w:t xml:space="preserve"> Für die NHW als klimafreundlich agierendes Unternehmen hat zudem die E-Mobilität einen festen Platz in ihrer Nachhaltigkeitsstrategie. In der Tiefgarage des Da Vinci Gartens sind daher mehrere Stellplätze elektrisch aufrüstbar, um an E-Ladesäulen und Wallboxen als Stromtankstelle für Elektroautos zu dienen – natürlich mit eigenem Stromzähler für den Mieter.</w:t>
      </w:r>
    </w:p>
    <w:p>
      <w:pPr>
        <w:spacing w:line="360" w:lineRule="auto"/>
        <w:ind w:right="992"/>
        <w:jc w:val="both"/>
        <w:rPr>
          <w:rFonts w:ascii="Arial" w:hAnsi="Arial" w:cs="Arial"/>
          <w:color w:val="000000"/>
        </w:rPr>
      </w:pPr>
    </w:p>
    <w:p>
      <w:pPr>
        <w:spacing w:line="360" w:lineRule="auto"/>
        <w:ind w:right="992"/>
        <w:jc w:val="both"/>
        <w:rPr>
          <w:rFonts w:ascii="Arial" w:hAnsi="Arial" w:cs="Arial"/>
          <w:color w:val="000000"/>
        </w:rPr>
      </w:pPr>
      <w:r>
        <w:rPr>
          <w:rFonts w:ascii="Arial" w:hAnsi="Arial" w:cs="Arial"/>
          <w:color w:val="000000"/>
        </w:rPr>
        <w:t>Der Da Vinci Garten ist das erste Objekt, das die Unternehmensgruppe Nassauische Heimstätte | Wohnstadt schlüsselfertig gekauft hat. Errichtet hat es der bundesweit tätigen Wohnentwickler Instone Real Estate. Das Land Hessen hat das Projekt mit rund fünf Millionen Euro gefördert.</w:t>
      </w:r>
    </w:p>
    <w:p>
      <w:pPr>
        <w:spacing w:line="360" w:lineRule="auto"/>
        <w:ind w:right="992"/>
        <w:jc w:val="both"/>
        <w:rPr>
          <w:rFonts w:ascii="Arial" w:eastAsia="Times New Roman" w:hAnsi="Arial" w:cs="Arial"/>
          <w:lang w:eastAsia="de-DE"/>
        </w:rPr>
      </w:pPr>
    </w:p>
    <w:p>
      <w:pPr>
        <w:ind w:right="992"/>
        <w:jc w:val="both"/>
        <w:rPr>
          <w:rFonts w:ascii="Arial" w:hAnsi="Arial" w:cs="Arial"/>
          <w:b/>
          <w:color w:val="000000"/>
        </w:rPr>
      </w:pPr>
      <w:r>
        <w:rPr>
          <w:rFonts w:ascii="Arial" w:hAnsi="Arial" w:cs="Arial"/>
          <w:b/>
          <w:color w:val="000000"/>
        </w:rPr>
        <w:t>Bildunterschriften:</w:t>
      </w:r>
    </w:p>
    <w:p>
      <w:pPr>
        <w:ind w:right="992"/>
        <w:jc w:val="both"/>
        <w:rPr>
          <w:rFonts w:ascii="Arial" w:hAnsi="Arial" w:cs="Arial"/>
          <w:color w:val="000000"/>
        </w:rPr>
      </w:pPr>
    </w:p>
    <w:p>
      <w:pPr>
        <w:ind w:right="992"/>
        <w:jc w:val="both"/>
        <w:rPr>
          <w:rFonts w:ascii="Arial" w:hAnsi="Arial" w:cs="Arial"/>
          <w:color w:val="000000"/>
        </w:rPr>
      </w:pPr>
      <w:r>
        <w:rPr>
          <w:rFonts w:ascii="Arial" w:hAnsi="Arial" w:cs="Arial"/>
          <w:b/>
          <w:color w:val="000000"/>
        </w:rPr>
        <w:t>PF1:</w:t>
      </w:r>
      <w:r>
        <w:rPr>
          <w:rFonts w:ascii="Arial" w:hAnsi="Arial" w:cs="Arial"/>
          <w:color w:val="000000"/>
        </w:rPr>
        <w:t xml:space="preserve"> Bezugsfertig: Im Da Vinci Garten in Frankfurt-Bockenheim bietet die Unternehmensgruppe Nassauische Heimstätte | Wohnstadt 121 bezahlbare Wohnungen an. Foto: NHW / Barbara Staubach.</w:t>
      </w:r>
    </w:p>
    <w:p>
      <w:pPr>
        <w:ind w:right="992"/>
        <w:jc w:val="both"/>
        <w:rPr>
          <w:rFonts w:ascii="Arial" w:hAnsi="Arial" w:cs="Arial"/>
          <w:color w:val="000000"/>
        </w:rPr>
      </w:pPr>
    </w:p>
    <w:p>
      <w:pPr>
        <w:ind w:right="992"/>
        <w:jc w:val="both"/>
        <w:rPr>
          <w:rFonts w:ascii="Arial" w:hAnsi="Arial" w:cs="Arial"/>
          <w:color w:val="000000"/>
        </w:rPr>
      </w:pPr>
      <w:r>
        <w:rPr>
          <w:rFonts w:ascii="Arial" w:hAnsi="Arial" w:cs="Arial"/>
          <w:b/>
          <w:color w:val="000000"/>
        </w:rPr>
        <w:t>PF2:</w:t>
      </w:r>
      <w:r>
        <w:rPr>
          <w:rFonts w:ascii="Arial" w:hAnsi="Arial" w:cs="Arial"/>
          <w:color w:val="000000"/>
        </w:rPr>
        <w:t xml:space="preserve"> Herzlich willkommen im Da Vinci Garten: Techniker Enrico Blümel begrüßt Fabian Mechtel, der mit seiner Familie seine neue Mietwohnung bezogen hat und sich freut, dass er in der Tiefgarage eine Wallbox für sein Elektroauto vorfindet. Foto: NHW / Barbara Staubach</w:t>
      </w:r>
    </w:p>
    <w:p>
      <w:pPr>
        <w:ind w:right="992"/>
        <w:jc w:val="both"/>
        <w:rPr>
          <w:rFonts w:ascii="Arial" w:hAnsi="Arial" w:cs="Arial"/>
          <w:color w:val="000000"/>
        </w:rPr>
      </w:pPr>
    </w:p>
    <w:p>
      <w:pPr>
        <w:pStyle w:val="bodytext"/>
        <w:tabs>
          <w:tab w:val="left" w:pos="7560"/>
        </w:tabs>
        <w:spacing w:after="0" w:line="240" w:lineRule="auto"/>
        <w:ind w:right="992"/>
        <w:jc w:val="both"/>
        <w:outlineLvl w:val="0"/>
        <w:rPr>
          <w:rFonts w:ascii="Arial" w:hAnsi="Arial" w:cs="Arial"/>
          <w:b/>
          <w:sz w:val="23"/>
          <w:szCs w:val="23"/>
        </w:rPr>
      </w:pPr>
    </w:p>
    <w:p>
      <w:pPr>
        <w:pStyle w:val="bodytext"/>
        <w:tabs>
          <w:tab w:val="left" w:pos="7560"/>
        </w:tabs>
        <w:spacing w:after="0" w:line="240" w:lineRule="auto"/>
        <w:ind w:right="992"/>
        <w:jc w:val="both"/>
        <w:outlineLvl w:val="0"/>
        <w:rPr>
          <w:rFonts w:ascii="Arial" w:hAnsi="Arial" w:cs="Arial"/>
          <w:sz w:val="22"/>
          <w:szCs w:val="22"/>
        </w:rPr>
      </w:pPr>
      <w:r>
        <w:rPr>
          <w:rFonts w:ascii="Arial" w:hAnsi="Arial" w:cs="Arial"/>
          <w:b/>
          <w:sz w:val="23"/>
          <w:szCs w:val="23"/>
        </w:rPr>
        <w:t>Unternehmensgruppe Nassauische Heimstätte | Wohnstadt</w:t>
      </w:r>
    </w:p>
    <w:p>
      <w:pPr>
        <w:ind w:right="992"/>
        <w:jc w:val="both"/>
        <w:rPr>
          <w:rFonts w:ascii="Arial" w:hAnsi="Arial" w:cs="Arial"/>
        </w:rPr>
      </w:pPr>
      <w:r>
        <w:rPr>
          <w:rFonts w:ascii="Arial" w:hAnsi="Arial" w:cs="Arial"/>
        </w:rPr>
        <w:t>Die Unternehmensgruppe Nassauische Heimstätte | Wohnstadt (NHW) mit Sitz in Frankfurt am Main und Kassel bietet seit knapp 100 Jahren umf</w:t>
      </w:r>
      <w:bookmarkStart w:id="0" w:name="_GoBack"/>
      <w:bookmarkEnd w:id="0"/>
      <w:r>
        <w:rPr>
          <w:rFonts w:ascii="Arial" w:hAnsi="Arial" w:cs="Arial"/>
        </w:rPr>
        <w:t>assende Dienstleistungen in den Bereichen Wohnen, Bauen und Entwickeln. Sie beschäftigt rund 750 Mitarbeitende. Mit rund 59.000 Mietwohnungen in 130 Städten und Gemeinden in Hessen gehört sie zu den zehn führenden deutschen Wohnungsunternehmen. Das Regionalcenter Frankfurt bewirtschaftet rund 19.800 Wohnungen, darunter 16.000 direkt in Frankfurt. Unter der NHW-Marke ProjektStadt werden Kompetenzfelder ge</w:t>
      </w:r>
      <w:r>
        <w:rPr>
          <w:rFonts w:ascii="Arial" w:hAnsi="Arial" w:cs="Arial"/>
        </w:rPr>
        <w:lastRenderedPageBreak/>
        <w:t xml:space="preserv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 </w:t>
      </w:r>
      <w:hyperlink r:id="rId7" w:history="1">
        <w:r>
          <w:rPr>
            <w:rStyle w:val="Hyperlink"/>
            <w:rFonts w:ascii="Arial" w:hAnsi="Arial" w:cs="Arial"/>
          </w:rPr>
          <w:t>www.naheimst.de</w:t>
        </w:r>
      </w:hyperlink>
    </w:p>
    <w:sectPr>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pPr>
      <w:pStyle w:val="Fuzeile"/>
      <w:rPr>
        <w:rFonts w:ascii="Arial" w:hAnsi="Arial" w:cs="Arial"/>
        <w:sz w:val="16"/>
        <w:szCs w:val="16"/>
      </w:rPr>
    </w:pPr>
    <w:r>
      <w:rPr>
        <w:rFonts w:ascii="Arial" w:hAnsi="Arial" w:cs="Arial"/>
        <w:sz w:val="16"/>
        <w:szCs w:val="16"/>
      </w:rPr>
      <w:t xml:space="preserve">Jens Duffner (Pressesprecher) | T: 069 6069-1321 | F: 069 6069-5-1321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 w:val="left" w:pos="1350"/>
        <w:tab w:val="right" w:pos="9498"/>
      </w:tabs>
      <w:ind w:right="-426"/>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0" locked="0" layoutInCell="1" allowOverlap="1">
          <wp:simplePos x="0" y="0"/>
          <wp:positionH relativeFrom="margin">
            <wp:posOffset>3712845</wp:posOffset>
          </wp:positionH>
          <wp:positionV relativeFrom="margin">
            <wp:posOffset>-2355850</wp:posOffset>
          </wp:positionV>
          <wp:extent cx="1981200" cy="566420"/>
          <wp:effectExtent l="0" t="0" r="0" b="508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566420"/>
                  </a:xfrm>
                  <a:prstGeom prst="rect">
                    <a:avLst/>
                  </a:prstGeom>
                </pic:spPr>
              </pic:pic>
            </a:graphicData>
          </a:graphic>
        </wp:anchor>
      </w:drawing>
    </w:r>
    <w:r>
      <w:rPr>
        <w:rFonts w:ascii="Arial" w:hAnsi="Arial" w:cs="Arial"/>
        <w:b/>
        <w:bCs/>
        <w:spacing w:val="60"/>
        <w:sz w:val="28"/>
        <w:szCs w:val="28"/>
      </w:rPr>
      <w:tab/>
    </w:r>
    <w:r>
      <w:rPr>
        <w:rFonts w:ascii="Arial" w:hAnsi="Arial" w:cs="Arial"/>
        <w:b/>
        <w:bCs/>
        <w:spacing w:val="60"/>
        <w:sz w:val="28"/>
        <w:szCs w:val="28"/>
      </w:rPr>
      <w:tab/>
    </w:r>
  </w:p>
  <w:p>
    <w:pPr>
      <w:pStyle w:val="Kopfzeile"/>
      <w:tabs>
        <w:tab w:val="clear" w:pos="4536"/>
        <w:tab w:val="clear" w:pos="9072"/>
      </w:tabs>
      <w:ind w:right="-426"/>
      <w:jc w:val="right"/>
      <w:rPr>
        <w:rFonts w:ascii="Arial" w:hAnsi="Arial" w:cs="Arial"/>
        <w:b/>
        <w:bCs/>
        <w:spacing w:val="60"/>
        <w:sz w:val="28"/>
        <w:szCs w:val="28"/>
      </w:rPr>
    </w:pPr>
  </w:p>
  <w:p>
    <w:pPr>
      <w:pStyle w:val="Kopfzeile"/>
      <w:tabs>
        <w:tab w:val="clear" w:pos="9072"/>
        <w:tab w:val="left" w:pos="8115"/>
      </w:tabs>
      <w:rPr>
        <w:rFonts w:ascii="Arial" w:hAnsi="Arial" w:cs="Arial"/>
        <w:b/>
        <w:bCs/>
        <w:spacing w:val="60"/>
        <w:sz w:val="36"/>
        <w:szCs w:val="36"/>
      </w:rPr>
    </w:pPr>
    <w:r>
      <w:rPr>
        <w:rFonts w:ascii="Arial" w:hAnsi="Arial" w:cs="Arial"/>
        <w:b/>
        <w:bCs/>
        <w:spacing w:val="60"/>
        <w:sz w:val="36"/>
        <w:szCs w:val="36"/>
      </w:rPr>
      <w:t xml:space="preserve">PRESSE-INFORMATION        </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11.05.2020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3</w:t>
    </w:r>
    <w:r>
      <w:rPr>
        <w:rFonts w:ascii="Arial" w:hAnsi="Arial" w:cs="Arial"/>
      </w:rPr>
      <w:fldChar w:fldCharType="end"/>
    </w:r>
  </w:p>
  <w:p>
    <w:pPr>
      <w:pStyle w:val="Kopfzeile"/>
      <w:rPr>
        <w:rFonts w:ascii="Arial" w:hAnsi="Arial" w:cs="Arial"/>
        <w:sz w:val="28"/>
        <w:szCs w:val="28"/>
      </w:rPr>
    </w:pPr>
    <w:r>
      <w:rPr>
        <w:rFonts w:ascii="Arial" w:hAnsi="Arial" w:cs="Arial"/>
      </w:rPr>
      <w:t>Anzahl Zeichen inkl. Leerzeichen: 2.329 ohne Boilerplate</w:t>
    </w:r>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customStyle="1" w:styleId="s2">
    <w:name w:val="s2"/>
    <w:basedOn w:val="Absatz-Standardschriftart"/>
  </w:style>
  <w:style w:type="character" w:customStyle="1" w:styleId="s3">
    <w:name w:val="s3"/>
    <w:basedOn w:val="Absatz-Standardschriftart"/>
  </w:style>
  <w:style w:type="paragraph" w:customStyle="1" w:styleId="Default">
    <w:name w:val="Default"/>
    <w:pPr>
      <w:autoSpaceDE w:val="0"/>
      <w:autoSpaceDN w:val="0"/>
      <w:adjustRightInd w:val="0"/>
    </w:pPr>
    <w:rPr>
      <w:rFonts w:ascii="Arial" w:eastAsiaTheme="minorEastAsia" w:hAnsi="Arial" w:cs="Arial"/>
      <w:color w:val="000000"/>
      <w:sz w:val="24"/>
      <w:szCs w:val="24"/>
    </w:rPr>
  </w:style>
  <w:style w:type="paragraph" w:styleId="StandardWeb">
    <w:name w:val="Normal (Web)"/>
    <w:basedOn w:val="Standard"/>
    <w:uiPriority w:val="99"/>
    <w:unhideWhenUsed/>
    <w:pPr>
      <w:spacing w:before="100" w:beforeAutospacing="1" w:after="100" w:afterAutospacing="1"/>
    </w:pPr>
    <w:rPr>
      <w:rFonts w:ascii="Times New Roman" w:hAnsi="Times New Roman"/>
      <w:sz w:val="24"/>
      <w:szCs w:val="24"/>
      <w:lang w:eastAsia="de-DE"/>
    </w:rPr>
  </w:style>
  <w:style w:type="character" w:styleId="Fett">
    <w:name w:val="Strong"/>
    <w:basedOn w:val="Absatz-Standardschriftart"/>
    <w:uiPriority w:val="22"/>
    <w:qFormat/>
    <w:rPr>
      <w:b/>
      <w:bCs/>
    </w:rPr>
  </w:style>
  <w:style w:type="character" w:customStyle="1" w:styleId="ida">
    <w:name w:val="ida"/>
    <w:basedOn w:val="Absatz-Standardschriftart"/>
  </w:style>
  <w:style w:type="paragraph" w:styleId="berarbeitung">
    <w:name w:val="Revision"/>
    <w:hidden/>
    <w:uiPriority w:val="99"/>
    <w:semiHidden/>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877767885">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207A2-23B7-45B4-B101-61310FF1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3469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3992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4</cp:revision>
  <cp:lastPrinted>2006-02-20T13:39:00Z</cp:lastPrinted>
  <dcterms:created xsi:type="dcterms:W3CDTF">2020-05-07T08:56:00Z</dcterms:created>
  <dcterms:modified xsi:type="dcterms:W3CDTF">2020-05-11T09:08:00Z</dcterms:modified>
</cp:coreProperties>
</file>